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A1AC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Медведева Нина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A1ACB">
        <w:rPr>
          <w:bCs w:val="0"/>
          <w:color w:val="0033CC"/>
          <w:sz w:val="28"/>
          <w:szCs w:val="28"/>
        </w:rPr>
        <w:t>3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BA1ACB">
        <w:rPr>
          <w:b/>
          <w:bCs/>
          <w:i/>
          <w:color w:val="0033CC"/>
          <w:sz w:val="28"/>
          <w:szCs w:val="28"/>
        </w:rPr>
        <w:t xml:space="preserve"> «Конспект лекций  «Русская литература второй половины 19 века» 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1878B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«Учебно-методическое пособие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BA1ACB" w:rsidRDefault="00BA1AC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BA1ACB" w:rsidRPr="003B1C0B" w:rsidRDefault="00BA1AC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A1AC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919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BC1"/>
    <w:rsid w:val="00B53DF6"/>
    <w:rsid w:val="00B663B7"/>
    <w:rsid w:val="00B806E3"/>
    <w:rsid w:val="00BA1ACB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02E42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2020-05-14T09:40:00Z</dcterms:modified>
</cp:coreProperties>
</file>